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19095" w14:textId="7F085261" w:rsidR="00DF1DB5" w:rsidRDefault="00905F41">
      <w:pPr>
        <w:rPr>
          <w:sz w:val="28"/>
          <w:szCs w:val="28"/>
        </w:rPr>
      </w:pPr>
      <w:bookmarkStart w:id="0" w:name="_GoBack"/>
      <w:bookmarkEnd w:id="0"/>
      <w:r w:rsidRPr="009061E4">
        <w:rPr>
          <w:b/>
          <w:sz w:val="28"/>
          <w:szCs w:val="28"/>
        </w:rPr>
        <w:t>Financi</w:t>
      </w:r>
      <w:r w:rsidRPr="009061E4">
        <w:rPr>
          <w:rFonts w:cs="Arial"/>
          <w:b/>
          <w:sz w:val="28"/>
          <w:szCs w:val="28"/>
        </w:rPr>
        <w:t>e</w:t>
      </w:r>
      <w:r>
        <w:rPr>
          <w:b/>
          <w:sz w:val="28"/>
          <w:szCs w:val="28"/>
        </w:rPr>
        <w:t>el</w:t>
      </w:r>
      <w:r w:rsidR="008D29F2">
        <w:rPr>
          <w:b/>
          <w:sz w:val="28"/>
          <w:szCs w:val="28"/>
        </w:rPr>
        <w:t xml:space="preserve"> Jaarverslag </w:t>
      </w:r>
      <w:r>
        <w:rPr>
          <w:b/>
          <w:sz w:val="28"/>
          <w:szCs w:val="28"/>
        </w:rPr>
        <w:t xml:space="preserve">2016 </w:t>
      </w:r>
      <w:r w:rsidR="008D29F2">
        <w:rPr>
          <w:b/>
          <w:sz w:val="28"/>
          <w:szCs w:val="28"/>
        </w:rPr>
        <w:t>Thomas Scheltus Stichting</w:t>
      </w:r>
    </w:p>
    <w:p w14:paraId="4EA48769" w14:textId="77777777" w:rsidR="009061E4" w:rsidRDefault="009061E4">
      <w:pPr>
        <w:rPr>
          <w:sz w:val="24"/>
          <w:szCs w:val="24"/>
        </w:rPr>
      </w:pPr>
    </w:p>
    <w:p w14:paraId="18EB9479" w14:textId="75ACC212" w:rsidR="009061E4" w:rsidRDefault="008D29F2">
      <w:pPr>
        <w:rPr>
          <w:sz w:val="24"/>
          <w:szCs w:val="24"/>
        </w:rPr>
      </w:pPr>
      <w:r>
        <w:rPr>
          <w:sz w:val="24"/>
          <w:szCs w:val="24"/>
        </w:rPr>
        <w:t>De Thomas Scheltus S</w:t>
      </w:r>
      <w:r w:rsidR="009061E4">
        <w:rPr>
          <w:sz w:val="24"/>
          <w:szCs w:val="24"/>
        </w:rPr>
        <w:t>tichting is een vermogensfonds. Het vermogen bestaat uit gelden die vrijwel geheel belegd zijn in effecten. Uit de opbrengst deelt de stichting</w:t>
      </w:r>
      <w:r w:rsidR="003A0F7F">
        <w:rPr>
          <w:sz w:val="24"/>
          <w:szCs w:val="24"/>
        </w:rPr>
        <w:t xml:space="preserve"> na besluitvorming door het bestuur op basis van de statutaire doelstelling</w:t>
      </w:r>
      <w:r w:rsidR="009061E4">
        <w:rPr>
          <w:sz w:val="24"/>
          <w:szCs w:val="24"/>
        </w:rPr>
        <w:t xml:space="preserve"> uit. Indien de opbrengst na aftrek van de lasten ontoereikend is wordt ingeteerd op het vermogen. Uiteraard kan het ook voorkomen dat geld overblijft, dat dan aan het vermogen wordt toegevoegd.</w:t>
      </w:r>
      <w:r w:rsidR="007E4735">
        <w:rPr>
          <w:sz w:val="24"/>
          <w:szCs w:val="24"/>
        </w:rPr>
        <w:t xml:space="preserve"> </w:t>
      </w:r>
    </w:p>
    <w:p w14:paraId="20ABAAD2" w14:textId="77777777" w:rsidR="009061E4" w:rsidRDefault="009061E4">
      <w:pPr>
        <w:rPr>
          <w:sz w:val="24"/>
          <w:szCs w:val="24"/>
        </w:rPr>
      </w:pPr>
    </w:p>
    <w:p w14:paraId="777D2EC3" w14:textId="77777777" w:rsidR="007E4735" w:rsidRDefault="007E4735">
      <w:pPr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579"/>
      </w:tblGrid>
      <w:tr w:rsidR="00905F41" w14:paraId="57588921" w14:textId="77777777" w:rsidTr="00905F41">
        <w:tc>
          <w:tcPr>
            <w:tcW w:w="5382" w:type="dxa"/>
          </w:tcPr>
          <w:p w14:paraId="48EACB83" w14:textId="1E70860F" w:rsidR="0040346C" w:rsidRPr="0040346C" w:rsidRDefault="0040346C">
            <w:pPr>
              <w:rPr>
                <w:b/>
                <w:sz w:val="24"/>
                <w:szCs w:val="24"/>
              </w:rPr>
            </w:pPr>
            <w:r w:rsidRPr="0040346C">
              <w:rPr>
                <w:b/>
                <w:sz w:val="24"/>
                <w:szCs w:val="24"/>
              </w:rPr>
              <w:t>Baten</w:t>
            </w:r>
          </w:p>
        </w:tc>
        <w:tc>
          <w:tcPr>
            <w:tcW w:w="1579" w:type="dxa"/>
          </w:tcPr>
          <w:p w14:paraId="728E4777" w14:textId="77777777" w:rsidR="0040346C" w:rsidRPr="0040346C" w:rsidRDefault="0040346C">
            <w:pPr>
              <w:rPr>
                <w:b/>
                <w:sz w:val="24"/>
                <w:szCs w:val="24"/>
              </w:rPr>
            </w:pPr>
          </w:p>
        </w:tc>
      </w:tr>
      <w:tr w:rsidR="00905F41" w14:paraId="3606A6DC" w14:textId="77777777" w:rsidTr="00905F41">
        <w:trPr>
          <w:trHeight w:val="316"/>
        </w:trPr>
        <w:tc>
          <w:tcPr>
            <w:tcW w:w="5382" w:type="dxa"/>
          </w:tcPr>
          <w:p w14:paraId="7A919C37" w14:textId="5DD3A3EC" w:rsidR="0040346C" w:rsidRPr="0040346C" w:rsidRDefault="0040346C">
            <w:pPr>
              <w:rPr>
                <w:sz w:val="24"/>
                <w:szCs w:val="24"/>
              </w:rPr>
            </w:pPr>
            <w:r w:rsidRPr="0040346C">
              <w:rPr>
                <w:sz w:val="24"/>
                <w:szCs w:val="24"/>
              </w:rPr>
              <w:t>Baten uit beleggingen</w:t>
            </w:r>
          </w:p>
        </w:tc>
        <w:tc>
          <w:tcPr>
            <w:tcW w:w="1579" w:type="dxa"/>
          </w:tcPr>
          <w:p w14:paraId="3F22D308" w14:textId="2CCA6110" w:rsidR="0040346C" w:rsidRPr="0040346C" w:rsidRDefault="00905F41" w:rsidP="0090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40346C" w:rsidRPr="0040346C">
              <w:rPr>
                <w:sz w:val="24"/>
                <w:szCs w:val="24"/>
              </w:rPr>
              <w:t>35.603</w:t>
            </w:r>
          </w:p>
        </w:tc>
      </w:tr>
      <w:tr w:rsidR="00905F41" w14:paraId="03E31375" w14:textId="77777777" w:rsidTr="00905F41">
        <w:tc>
          <w:tcPr>
            <w:tcW w:w="5382" w:type="dxa"/>
          </w:tcPr>
          <w:p w14:paraId="383C0E4E" w14:textId="351BB1F2" w:rsidR="0040346C" w:rsidRPr="0040346C" w:rsidRDefault="00403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Overig baten</w:t>
            </w:r>
          </w:p>
        </w:tc>
        <w:tc>
          <w:tcPr>
            <w:tcW w:w="1579" w:type="dxa"/>
          </w:tcPr>
          <w:p w14:paraId="72FD8BA4" w14:textId="028670AD" w:rsidR="0040346C" w:rsidRPr="0040346C" w:rsidRDefault="0040346C" w:rsidP="0090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F41" w14:paraId="48CFAB55" w14:textId="77777777" w:rsidTr="00905F41">
        <w:tc>
          <w:tcPr>
            <w:tcW w:w="5382" w:type="dxa"/>
          </w:tcPr>
          <w:p w14:paraId="396E332A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53ADACEC" w14:textId="77777777" w:rsidR="0040346C" w:rsidRPr="0040346C" w:rsidRDefault="0040346C" w:rsidP="00905F41">
            <w:pPr>
              <w:jc w:val="right"/>
              <w:rPr>
                <w:sz w:val="24"/>
                <w:szCs w:val="24"/>
              </w:rPr>
            </w:pPr>
          </w:p>
        </w:tc>
      </w:tr>
      <w:tr w:rsidR="00905F41" w14:paraId="01E51F2C" w14:textId="77777777" w:rsidTr="00905F41">
        <w:tc>
          <w:tcPr>
            <w:tcW w:w="5382" w:type="dxa"/>
          </w:tcPr>
          <w:p w14:paraId="61ECAE4C" w14:textId="7A9D5591" w:rsidR="0040346C" w:rsidRPr="0040346C" w:rsidRDefault="00403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 baten</w:t>
            </w:r>
          </w:p>
        </w:tc>
        <w:tc>
          <w:tcPr>
            <w:tcW w:w="1579" w:type="dxa"/>
          </w:tcPr>
          <w:p w14:paraId="4FE79251" w14:textId="6AFA7645" w:rsidR="0040346C" w:rsidRPr="0040346C" w:rsidRDefault="00905F41" w:rsidP="0090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40346C">
              <w:rPr>
                <w:sz w:val="24"/>
                <w:szCs w:val="24"/>
              </w:rPr>
              <w:t>35.603</w:t>
            </w:r>
          </w:p>
        </w:tc>
      </w:tr>
      <w:tr w:rsidR="00905F41" w14:paraId="1677879E" w14:textId="77777777" w:rsidTr="00905F41">
        <w:tc>
          <w:tcPr>
            <w:tcW w:w="5382" w:type="dxa"/>
          </w:tcPr>
          <w:p w14:paraId="4DE9841F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127E6864" w14:textId="77777777" w:rsidR="0040346C" w:rsidRPr="0040346C" w:rsidRDefault="0040346C" w:rsidP="00905F41">
            <w:pPr>
              <w:jc w:val="right"/>
              <w:rPr>
                <w:sz w:val="24"/>
                <w:szCs w:val="24"/>
              </w:rPr>
            </w:pPr>
          </w:p>
        </w:tc>
      </w:tr>
      <w:tr w:rsidR="00905F41" w14:paraId="3ACB9D69" w14:textId="77777777" w:rsidTr="00905F41">
        <w:tc>
          <w:tcPr>
            <w:tcW w:w="5382" w:type="dxa"/>
          </w:tcPr>
          <w:p w14:paraId="029A7039" w14:textId="73D3F077" w:rsidR="0040346C" w:rsidRPr="0040346C" w:rsidRDefault="00403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Lasten</w:t>
            </w:r>
          </w:p>
        </w:tc>
        <w:tc>
          <w:tcPr>
            <w:tcW w:w="1579" w:type="dxa"/>
          </w:tcPr>
          <w:p w14:paraId="79CFFA8B" w14:textId="77777777" w:rsidR="0040346C" w:rsidRPr="0040346C" w:rsidRDefault="0040346C" w:rsidP="00905F41">
            <w:pPr>
              <w:jc w:val="right"/>
              <w:rPr>
                <w:sz w:val="24"/>
                <w:szCs w:val="24"/>
              </w:rPr>
            </w:pPr>
          </w:p>
        </w:tc>
      </w:tr>
      <w:tr w:rsidR="00905F41" w14:paraId="05667864" w14:textId="77777777" w:rsidTr="00905F41">
        <w:tc>
          <w:tcPr>
            <w:tcW w:w="5382" w:type="dxa"/>
          </w:tcPr>
          <w:p w14:paraId="306299BD" w14:textId="24BCEB96" w:rsidR="0040346C" w:rsidRPr="0040346C" w:rsidRDefault="00403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Uitkeringen overeenkomstig de doelstelling</w:t>
            </w:r>
          </w:p>
        </w:tc>
        <w:tc>
          <w:tcPr>
            <w:tcW w:w="1579" w:type="dxa"/>
          </w:tcPr>
          <w:p w14:paraId="51B0C445" w14:textId="2598335C" w:rsidR="0040346C" w:rsidRPr="0040346C" w:rsidRDefault="00905F41" w:rsidP="0090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40346C">
              <w:rPr>
                <w:sz w:val="24"/>
                <w:szCs w:val="24"/>
              </w:rPr>
              <w:t>46.255</w:t>
            </w:r>
          </w:p>
        </w:tc>
      </w:tr>
      <w:tr w:rsidR="00905F41" w14:paraId="54BBE8DA" w14:textId="77777777" w:rsidTr="00905F41">
        <w:tc>
          <w:tcPr>
            <w:tcW w:w="5382" w:type="dxa"/>
          </w:tcPr>
          <w:p w14:paraId="47254854" w14:textId="58E7BBD4" w:rsidR="0040346C" w:rsidRPr="0040346C" w:rsidRDefault="00403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Kantoorlasten</w:t>
            </w:r>
          </w:p>
        </w:tc>
        <w:tc>
          <w:tcPr>
            <w:tcW w:w="1579" w:type="dxa"/>
          </w:tcPr>
          <w:p w14:paraId="7C549A99" w14:textId="5AF71D12" w:rsidR="0040346C" w:rsidRPr="0040346C" w:rsidRDefault="00905F41" w:rsidP="0090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40346C">
              <w:rPr>
                <w:sz w:val="24"/>
                <w:szCs w:val="24"/>
              </w:rPr>
              <w:t>1.069</w:t>
            </w:r>
          </w:p>
        </w:tc>
      </w:tr>
      <w:tr w:rsidR="00905F41" w14:paraId="326A8B10" w14:textId="77777777" w:rsidTr="00905F41">
        <w:tc>
          <w:tcPr>
            <w:tcW w:w="5382" w:type="dxa"/>
          </w:tcPr>
          <w:p w14:paraId="47E0C40B" w14:textId="384E50AD" w:rsidR="0040346C" w:rsidRPr="0040346C" w:rsidRDefault="005F2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Algemene lasten</w:t>
            </w:r>
          </w:p>
        </w:tc>
        <w:tc>
          <w:tcPr>
            <w:tcW w:w="1579" w:type="dxa"/>
          </w:tcPr>
          <w:p w14:paraId="14CDB377" w14:textId="552334C6" w:rsidR="0040346C" w:rsidRPr="0040346C" w:rsidRDefault="00905F41" w:rsidP="0090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5F260F">
              <w:rPr>
                <w:sz w:val="24"/>
                <w:szCs w:val="24"/>
              </w:rPr>
              <w:t>3.427</w:t>
            </w:r>
          </w:p>
        </w:tc>
      </w:tr>
      <w:tr w:rsidR="00905F41" w14:paraId="343B0591" w14:textId="77777777" w:rsidTr="00905F41">
        <w:tc>
          <w:tcPr>
            <w:tcW w:w="5382" w:type="dxa"/>
          </w:tcPr>
          <w:p w14:paraId="3C65AC72" w14:textId="672808C1" w:rsidR="0040346C" w:rsidRPr="0040346C" w:rsidRDefault="0048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Rentelasten</w:t>
            </w:r>
          </w:p>
        </w:tc>
        <w:tc>
          <w:tcPr>
            <w:tcW w:w="1579" w:type="dxa"/>
          </w:tcPr>
          <w:p w14:paraId="23955DC5" w14:textId="42AC65B9" w:rsidR="0040346C" w:rsidRPr="0040346C" w:rsidRDefault="00905F41" w:rsidP="0090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482BB1">
              <w:rPr>
                <w:sz w:val="24"/>
                <w:szCs w:val="24"/>
              </w:rPr>
              <w:t>220</w:t>
            </w:r>
          </w:p>
        </w:tc>
      </w:tr>
      <w:tr w:rsidR="00905F41" w14:paraId="43009758" w14:textId="77777777" w:rsidTr="00905F41">
        <w:tc>
          <w:tcPr>
            <w:tcW w:w="5382" w:type="dxa"/>
          </w:tcPr>
          <w:p w14:paraId="57514B97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64CDB75F" w14:textId="77777777" w:rsidR="0040346C" w:rsidRPr="0040346C" w:rsidRDefault="0040346C" w:rsidP="00905F41">
            <w:pPr>
              <w:jc w:val="right"/>
              <w:rPr>
                <w:sz w:val="24"/>
                <w:szCs w:val="24"/>
              </w:rPr>
            </w:pPr>
          </w:p>
        </w:tc>
      </w:tr>
      <w:tr w:rsidR="00905F41" w14:paraId="23C57295" w14:textId="77777777" w:rsidTr="00905F41">
        <w:tc>
          <w:tcPr>
            <w:tcW w:w="5382" w:type="dxa"/>
          </w:tcPr>
          <w:p w14:paraId="08BAF106" w14:textId="3447F4E7" w:rsidR="0040346C" w:rsidRPr="0040346C" w:rsidRDefault="0048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 lasten</w:t>
            </w:r>
          </w:p>
        </w:tc>
        <w:tc>
          <w:tcPr>
            <w:tcW w:w="1579" w:type="dxa"/>
          </w:tcPr>
          <w:p w14:paraId="06BD35CB" w14:textId="6AC74338" w:rsidR="0040346C" w:rsidRPr="0040346C" w:rsidRDefault="00905F41" w:rsidP="0090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</w:t>
            </w:r>
            <w:r w:rsidR="00482BB1">
              <w:rPr>
                <w:sz w:val="24"/>
                <w:szCs w:val="24"/>
              </w:rPr>
              <w:t>50.971</w:t>
            </w:r>
          </w:p>
        </w:tc>
      </w:tr>
      <w:tr w:rsidR="00905F41" w14:paraId="5F386664" w14:textId="77777777" w:rsidTr="00905F41">
        <w:tc>
          <w:tcPr>
            <w:tcW w:w="5382" w:type="dxa"/>
          </w:tcPr>
          <w:p w14:paraId="68C97CB1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14C185D8" w14:textId="77777777" w:rsidR="0040346C" w:rsidRPr="0040346C" w:rsidRDefault="0040346C" w:rsidP="00905F41">
            <w:pPr>
              <w:jc w:val="right"/>
              <w:rPr>
                <w:sz w:val="24"/>
                <w:szCs w:val="24"/>
              </w:rPr>
            </w:pPr>
          </w:p>
        </w:tc>
      </w:tr>
      <w:tr w:rsidR="00905F41" w14:paraId="3CC0A3A8" w14:textId="77777777" w:rsidTr="00905F41">
        <w:tc>
          <w:tcPr>
            <w:tcW w:w="5382" w:type="dxa"/>
          </w:tcPr>
          <w:p w14:paraId="11BCE9A4" w14:textId="3F304D96" w:rsidR="0040346C" w:rsidRPr="00482BB1" w:rsidRDefault="00482BB1">
            <w:pPr>
              <w:rPr>
                <w:b/>
                <w:sz w:val="24"/>
                <w:szCs w:val="24"/>
              </w:rPr>
            </w:pPr>
            <w:r w:rsidRPr="00482BB1">
              <w:rPr>
                <w:b/>
                <w:sz w:val="24"/>
                <w:szCs w:val="24"/>
              </w:rPr>
              <w:t>Saldo</w:t>
            </w:r>
          </w:p>
        </w:tc>
        <w:tc>
          <w:tcPr>
            <w:tcW w:w="1579" w:type="dxa"/>
          </w:tcPr>
          <w:p w14:paraId="175BEDDB" w14:textId="3B1D5B7E" w:rsidR="0040346C" w:rsidRPr="00482BB1" w:rsidRDefault="00482BB1" w:rsidP="00905F41">
            <w:pPr>
              <w:jc w:val="right"/>
              <w:rPr>
                <w:b/>
                <w:sz w:val="24"/>
                <w:szCs w:val="24"/>
              </w:rPr>
            </w:pPr>
            <w:r w:rsidRPr="00482BB1">
              <w:rPr>
                <w:b/>
                <w:sz w:val="24"/>
                <w:szCs w:val="24"/>
              </w:rPr>
              <w:t>-/- 15.368</w:t>
            </w:r>
          </w:p>
        </w:tc>
      </w:tr>
      <w:tr w:rsidR="00905F41" w14:paraId="262DD8FC" w14:textId="77777777" w:rsidTr="00905F41">
        <w:tc>
          <w:tcPr>
            <w:tcW w:w="5382" w:type="dxa"/>
          </w:tcPr>
          <w:p w14:paraId="4553273E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22154CBE" w14:textId="77777777" w:rsidR="0040346C" w:rsidRPr="0040346C" w:rsidRDefault="0040346C" w:rsidP="00905F41">
            <w:pPr>
              <w:jc w:val="right"/>
              <w:rPr>
                <w:sz w:val="24"/>
                <w:szCs w:val="24"/>
              </w:rPr>
            </w:pPr>
          </w:p>
        </w:tc>
      </w:tr>
      <w:tr w:rsidR="00905F41" w14:paraId="70CB12B5" w14:textId="77777777" w:rsidTr="00905F41">
        <w:tc>
          <w:tcPr>
            <w:tcW w:w="5382" w:type="dxa"/>
          </w:tcPr>
          <w:p w14:paraId="47EA0BB8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78D07951" w14:textId="77777777" w:rsidR="0040346C" w:rsidRPr="0040346C" w:rsidRDefault="0040346C" w:rsidP="00905F41">
            <w:pPr>
              <w:jc w:val="right"/>
              <w:rPr>
                <w:sz w:val="24"/>
                <w:szCs w:val="24"/>
              </w:rPr>
            </w:pPr>
          </w:p>
        </w:tc>
      </w:tr>
      <w:tr w:rsidR="00905F41" w14:paraId="098B9E9A" w14:textId="77777777" w:rsidTr="00905F41">
        <w:tc>
          <w:tcPr>
            <w:tcW w:w="5382" w:type="dxa"/>
          </w:tcPr>
          <w:p w14:paraId="39999461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53DE12FF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</w:tr>
      <w:tr w:rsidR="00905F41" w14:paraId="5689CB22" w14:textId="77777777" w:rsidTr="00905F41">
        <w:trPr>
          <w:trHeight w:val="288"/>
        </w:trPr>
        <w:tc>
          <w:tcPr>
            <w:tcW w:w="5382" w:type="dxa"/>
          </w:tcPr>
          <w:p w14:paraId="4C5024E1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39A3A8A6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</w:tr>
      <w:tr w:rsidR="00905F41" w14:paraId="72CF86BA" w14:textId="77777777" w:rsidTr="00905F41">
        <w:tc>
          <w:tcPr>
            <w:tcW w:w="5382" w:type="dxa"/>
          </w:tcPr>
          <w:p w14:paraId="7F42C797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3FEFEFCE" w14:textId="77777777" w:rsidR="0040346C" w:rsidRPr="0040346C" w:rsidRDefault="0040346C">
            <w:pPr>
              <w:rPr>
                <w:sz w:val="24"/>
                <w:szCs w:val="24"/>
              </w:rPr>
            </w:pPr>
          </w:p>
        </w:tc>
      </w:tr>
    </w:tbl>
    <w:p w14:paraId="565737A8" w14:textId="77777777" w:rsidR="0040346C" w:rsidRDefault="0040346C">
      <w:pPr>
        <w:rPr>
          <w:b/>
          <w:sz w:val="24"/>
          <w:szCs w:val="24"/>
          <w:u w:val="single"/>
        </w:rPr>
      </w:pPr>
    </w:p>
    <w:p w14:paraId="1877EEAC" w14:textId="77777777" w:rsidR="007E4735" w:rsidRPr="00905F41" w:rsidRDefault="007E4735">
      <w:pPr>
        <w:rPr>
          <w:b/>
          <w:sz w:val="24"/>
          <w:szCs w:val="24"/>
        </w:rPr>
      </w:pPr>
      <w:r w:rsidRPr="00905F41">
        <w:rPr>
          <w:b/>
          <w:sz w:val="24"/>
          <w:szCs w:val="24"/>
        </w:rPr>
        <w:t>Opmerkingen:</w:t>
      </w:r>
    </w:p>
    <w:p w14:paraId="0474F992" w14:textId="77777777" w:rsidR="00905F41" w:rsidRDefault="007E4735">
      <w:pPr>
        <w:rPr>
          <w:sz w:val="24"/>
          <w:szCs w:val="24"/>
        </w:rPr>
      </w:pPr>
      <w:r>
        <w:rPr>
          <w:sz w:val="24"/>
          <w:szCs w:val="24"/>
        </w:rPr>
        <w:t>Bij de baten zijn de netto bedragen vermeld. De onkosten die de banken in rekening brengen zijn reeds in mindering gebracht.</w:t>
      </w:r>
      <w:r w:rsidR="005D0BD8">
        <w:rPr>
          <w:sz w:val="24"/>
          <w:szCs w:val="24"/>
        </w:rPr>
        <w:t xml:space="preserve"> </w:t>
      </w:r>
    </w:p>
    <w:p w14:paraId="3DB92314" w14:textId="77777777" w:rsidR="00905F41" w:rsidRDefault="00905F41">
      <w:pPr>
        <w:rPr>
          <w:sz w:val="24"/>
          <w:szCs w:val="24"/>
        </w:rPr>
      </w:pPr>
    </w:p>
    <w:p w14:paraId="4C0BEB77" w14:textId="2F249E3D" w:rsidR="007E4735" w:rsidRDefault="00905F41">
      <w:pPr>
        <w:rPr>
          <w:sz w:val="24"/>
          <w:szCs w:val="24"/>
        </w:rPr>
      </w:pPr>
      <w:r>
        <w:rPr>
          <w:sz w:val="24"/>
          <w:szCs w:val="24"/>
        </w:rPr>
        <w:t>Het resultaat 2016, een tekort van € 15.368 ,- wordt in mindering gebracht op het vermogen.</w:t>
      </w:r>
    </w:p>
    <w:p w14:paraId="005509CE" w14:textId="77777777" w:rsidR="005D0BD8" w:rsidRDefault="005D0BD8">
      <w:pPr>
        <w:rPr>
          <w:sz w:val="24"/>
          <w:szCs w:val="24"/>
        </w:rPr>
      </w:pPr>
    </w:p>
    <w:p w14:paraId="5965C195" w14:textId="78411793" w:rsidR="007E4735" w:rsidRPr="007E4735" w:rsidRDefault="007E4735">
      <w:pPr>
        <w:rPr>
          <w:sz w:val="24"/>
          <w:szCs w:val="24"/>
        </w:rPr>
      </w:pPr>
      <w:r>
        <w:rPr>
          <w:sz w:val="24"/>
          <w:szCs w:val="24"/>
        </w:rPr>
        <w:t>De baten voor 201</w:t>
      </w:r>
      <w:r w:rsidR="00905F41">
        <w:rPr>
          <w:sz w:val="24"/>
          <w:szCs w:val="24"/>
        </w:rPr>
        <w:t>7</w:t>
      </w:r>
      <w:r>
        <w:rPr>
          <w:sz w:val="24"/>
          <w:szCs w:val="24"/>
        </w:rPr>
        <w:t xml:space="preserve"> ondergaan naar verwachting geen ingrijpende verandering. Zij volgen de trend. Dit geld tevens voor de lasten, voor zover </w:t>
      </w:r>
      <w:r w:rsidR="00781682">
        <w:rPr>
          <w:sz w:val="24"/>
          <w:szCs w:val="24"/>
        </w:rPr>
        <w:t>die</w:t>
      </w:r>
      <w:r>
        <w:rPr>
          <w:sz w:val="24"/>
          <w:szCs w:val="24"/>
        </w:rPr>
        <w:t xml:space="preserve"> niet de uitdeling betref</w:t>
      </w:r>
      <w:r w:rsidR="005D0BD8">
        <w:rPr>
          <w:sz w:val="24"/>
          <w:szCs w:val="24"/>
        </w:rPr>
        <w:t>fen</w:t>
      </w:r>
      <w:r>
        <w:rPr>
          <w:sz w:val="24"/>
          <w:szCs w:val="24"/>
        </w:rPr>
        <w:t>. Ten aanzien van de uitdeling is de stichting afhankelijk van de aanvr</w:t>
      </w:r>
      <w:r w:rsidR="003A0F7F">
        <w:rPr>
          <w:sz w:val="24"/>
          <w:szCs w:val="24"/>
        </w:rPr>
        <w:t>agen door diakenen en andere aanvragers</w:t>
      </w:r>
      <w:r>
        <w:rPr>
          <w:sz w:val="24"/>
          <w:szCs w:val="24"/>
        </w:rPr>
        <w:t>.</w:t>
      </w:r>
    </w:p>
    <w:sectPr w:rsidR="007E4735" w:rsidRPr="007E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C"/>
    <w:rsid w:val="001B25E3"/>
    <w:rsid w:val="001F69C0"/>
    <w:rsid w:val="003A0F7F"/>
    <w:rsid w:val="0040346C"/>
    <w:rsid w:val="00474D97"/>
    <w:rsid w:val="00482BB1"/>
    <w:rsid w:val="005D0BD8"/>
    <w:rsid w:val="005F260F"/>
    <w:rsid w:val="00703891"/>
    <w:rsid w:val="00720155"/>
    <w:rsid w:val="00781682"/>
    <w:rsid w:val="007E4735"/>
    <w:rsid w:val="008D29F2"/>
    <w:rsid w:val="00905F41"/>
    <w:rsid w:val="009061E4"/>
    <w:rsid w:val="009F5DDD"/>
    <w:rsid w:val="00B215DC"/>
    <w:rsid w:val="00DF1DB5"/>
    <w:rsid w:val="00E323E7"/>
    <w:rsid w:val="00E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C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4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Hofland</dc:creator>
  <cp:keywords/>
  <dc:description/>
  <cp:lastModifiedBy>Romy Smit</cp:lastModifiedBy>
  <cp:revision>2</cp:revision>
  <cp:lastPrinted>2017-07-01T14:29:00Z</cp:lastPrinted>
  <dcterms:created xsi:type="dcterms:W3CDTF">2017-07-03T06:38:00Z</dcterms:created>
  <dcterms:modified xsi:type="dcterms:W3CDTF">2017-07-03T06:38:00Z</dcterms:modified>
</cp:coreProperties>
</file>