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9095" w14:textId="4654F200" w:rsidR="00DF1DB5" w:rsidRDefault="008D29F2">
      <w:pPr>
        <w:rPr>
          <w:sz w:val="28"/>
          <w:szCs w:val="28"/>
        </w:rPr>
      </w:pPr>
      <w:r>
        <w:rPr>
          <w:b/>
          <w:sz w:val="28"/>
          <w:szCs w:val="28"/>
        </w:rPr>
        <w:t xml:space="preserve">Jaarverslag </w:t>
      </w:r>
      <w:r w:rsidR="0096479B">
        <w:rPr>
          <w:b/>
          <w:sz w:val="28"/>
          <w:szCs w:val="28"/>
        </w:rPr>
        <w:t>2017</w:t>
      </w:r>
      <w:r w:rsidR="00905F41">
        <w:rPr>
          <w:b/>
          <w:sz w:val="28"/>
          <w:szCs w:val="28"/>
        </w:rPr>
        <w:t xml:space="preserve"> </w:t>
      </w:r>
      <w:r>
        <w:rPr>
          <w:b/>
          <w:sz w:val="28"/>
          <w:szCs w:val="28"/>
        </w:rPr>
        <w:t>Thomas Scheltus Stichting</w:t>
      </w:r>
    </w:p>
    <w:p w14:paraId="34651D6D" w14:textId="77777777" w:rsidR="0096479B" w:rsidRDefault="0096479B" w:rsidP="0096479B">
      <w:pPr>
        <w:rPr>
          <w:b/>
        </w:rPr>
      </w:pPr>
    </w:p>
    <w:p w14:paraId="2626B4B1" w14:textId="46CDE372" w:rsidR="0096479B" w:rsidRPr="00293DBA" w:rsidRDefault="0096479B" w:rsidP="0096479B">
      <w:pPr>
        <w:rPr>
          <w:b/>
          <w:szCs w:val="22"/>
        </w:rPr>
      </w:pPr>
      <w:r w:rsidRPr="00293DBA">
        <w:rPr>
          <w:b/>
          <w:szCs w:val="22"/>
        </w:rPr>
        <w:t>De Thomas Scheltus Stichting</w:t>
      </w:r>
    </w:p>
    <w:p w14:paraId="5B3E8254" w14:textId="4681CD67" w:rsidR="0096479B" w:rsidRPr="00293DBA" w:rsidRDefault="0096479B" w:rsidP="0096479B">
      <w:pPr>
        <w:rPr>
          <w:szCs w:val="22"/>
        </w:rPr>
      </w:pPr>
      <w:r w:rsidRPr="00293DBA">
        <w:rPr>
          <w:szCs w:val="22"/>
        </w:rPr>
        <w:t xml:space="preserve">De Thomas Scheltus Stichting is een vermogensfonds. Het vermogen bestaat uit gelden die vrijwel geheel </w:t>
      </w:r>
      <w:r w:rsidR="00293DBA" w:rsidRPr="00293DBA">
        <w:rPr>
          <w:szCs w:val="22"/>
        </w:rPr>
        <w:t xml:space="preserve">risicomijdend </w:t>
      </w:r>
      <w:r w:rsidRPr="00293DBA">
        <w:rPr>
          <w:szCs w:val="22"/>
        </w:rPr>
        <w:t xml:space="preserve">belegd zijn in effecten. Uit de opbrengst deelt de stichting na besluitvorming door het bestuur op basis van de statutaire doelstelling uit. Indien de opbrengst na aftrek van de lasten ontoereikend is wordt ingeteerd op het vermogen. Uiteraard kan het ook voorkomen dat geld overblijft, dat dan aan het vermogen wordt toegevoegd. </w:t>
      </w:r>
    </w:p>
    <w:p w14:paraId="54BBE1AF" w14:textId="77777777" w:rsidR="0096479B" w:rsidRDefault="0096479B" w:rsidP="0096479B">
      <w:pPr>
        <w:rPr>
          <w:b/>
        </w:rPr>
      </w:pPr>
    </w:p>
    <w:p w14:paraId="43D4C6E9" w14:textId="77777777" w:rsidR="0096479B" w:rsidRPr="00F1505E" w:rsidRDefault="0096479B" w:rsidP="0096479B">
      <w:pPr>
        <w:rPr>
          <w:b/>
        </w:rPr>
      </w:pPr>
      <w:r w:rsidRPr="00F1505E">
        <w:rPr>
          <w:b/>
        </w:rPr>
        <w:t>Bestuurssamenstelling</w:t>
      </w:r>
    </w:p>
    <w:p w14:paraId="54DFBB79" w14:textId="1B421006" w:rsidR="0096479B" w:rsidRDefault="0096479B" w:rsidP="0096479B">
      <w:r>
        <w:t xml:space="preserve">Eind 2016 heeft dhr. W.C.G. Hofland afscheid genomen als secretaris-penningmeester. Hij is op 1 januari 2017 opgevolgd door dhr. L.H. Heijs. November 2017 was dhr. A. Veldhuizen aftredend en is hij bij acclamatie verkozen voor een nieuwe termijn. </w:t>
      </w:r>
      <w:bookmarkStart w:id="0" w:name="_GoBack"/>
      <w:bookmarkEnd w:id="0"/>
    </w:p>
    <w:p w14:paraId="26280134" w14:textId="77777777" w:rsidR="0096479B" w:rsidRDefault="0096479B" w:rsidP="0096479B"/>
    <w:p w14:paraId="67C2DF1C" w14:textId="77777777" w:rsidR="0096479B" w:rsidRPr="00F1505E" w:rsidRDefault="0096479B" w:rsidP="0096479B">
      <w:pPr>
        <w:rPr>
          <w:b/>
        </w:rPr>
      </w:pPr>
      <w:r w:rsidRPr="00F1505E">
        <w:rPr>
          <w:b/>
        </w:rPr>
        <w:t>Aanvragen en uitkeringen overeenkomstig de doelstelling</w:t>
      </w:r>
    </w:p>
    <w:p w14:paraId="12606DB5" w14:textId="77777777" w:rsidR="00BC309E" w:rsidRDefault="00BC309E" w:rsidP="0096479B">
      <w:r>
        <w:t>In 2017 is € 39.250</w:t>
      </w:r>
      <w:r w:rsidR="0096479B">
        <w:t xml:space="preserve">,- uitgekeerd </w:t>
      </w:r>
      <w:r>
        <w:t>overeenkomstig de doelstelling.:</w:t>
      </w:r>
    </w:p>
    <w:p w14:paraId="7A29CE4E" w14:textId="77777777" w:rsidR="00BC309E" w:rsidRDefault="0096479B" w:rsidP="00BC309E">
      <w:pPr>
        <w:pStyle w:val="Lijstalinea"/>
        <w:numPr>
          <w:ilvl w:val="0"/>
          <w:numId w:val="1"/>
        </w:numPr>
      </w:pPr>
      <w:r>
        <w:t xml:space="preserve">In het kader van de jaarlijkse Paasactie is € 34.000,- uitgekeerd aan ruim 180 personen. Deze actie wordt uitgevoerd in samenwerking met de </w:t>
      </w:r>
      <w:r w:rsidR="00BC309E">
        <w:t xml:space="preserve">diaconieën van de </w:t>
      </w:r>
      <w:r>
        <w:t xml:space="preserve">protestantse kerken van Amersfoort. </w:t>
      </w:r>
    </w:p>
    <w:p w14:paraId="17392CD9" w14:textId="77777777" w:rsidR="00BC309E" w:rsidRDefault="0096479B" w:rsidP="00BC309E">
      <w:pPr>
        <w:pStyle w:val="Lijstalinea"/>
        <w:numPr>
          <w:ilvl w:val="0"/>
          <w:numId w:val="1"/>
        </w:numPr>
      </w:pPr>
      <w:r>
        <w:t xml:space="preserve">Aan individuele hulpverlening is € 750,- uitgekeerd. </w:t>
      </w:r>
    </w:p>
    <w:p w14:paraId="77FE97CE" w14:textId="77777777" w:rsidR="00BC309E" w:rsidRDefault="0096479B" w:rsidP="00BC309E">
      <w:pPr>
        <w:pStyle w:val="Lijstalinea"/>
        <w:numPr>
          <w:ilvl w:val="0"/>
          <w:numId w:val="1"/>
        </w:numPr>
      </w:pPr>
      <w:r>
        <w:t xml:space="preserve">De Thomas Scheltus Stichting heeft twee activiteiten rond Alzheimer gesponsord. De eerste betrof een door de diaconie van de Protestantse Gemeente Amersfoort georganiseerde theatervoorstelling over Alzheimer. Tevens werd het Pop-Up Museum van de Stichting Smaak gesponsord. Deze activiteit speelde zich af in het Pieter Blokland Gasthuis en richtte zich op ouderen met (beginnende) dementie. Het bestuur stond positief tegenover dit initiatief waarmee zeker ook de doelgroep van onze stichting bereikt wordt. </w:t>
      </w:r>
    </w:p>
    <w:p w14:paraId="036809C0" w14:textId="545C3E23" w:rsidR="00BC309E" w:rsidRDefault="00BC309E" w:rsidP="00BC309E">
      <w:pPr>
        <w:pStyle w:val="Lijstalinea"/>
        <w:numPr>
          <w:ilvl w:val="0"/>
          <w:numId w:val="1"/>
        </w:numPr>
      </w:pPr>
      <w:r>
        <w:t>Bijdrage aan busreis georganiseerd door Inloophuis de Ontmoeting</w:t>
      </w:r>
    </w:p>
    <w:p w14:paraId="34A9DE36" w14:textId="77777777" w:rsidR="0096479B" w:rsidRDefault="0096479B" w:rsidP="0096479B"/>
    <w:p w14:paraId="73BE9E92" w14:textId="77777777" w:rsidR="0096479B" w:rsidRPr="00F1505E" w:rsidRDefault="0096479B" w:rsidP="0096479B">
      <w:pPr>
        <w:rPr>
          <w:b/>
        </w:rPr>
      </w:pPr>
      <w:r w:rsidRPr="00F1505E">
        <w:rPr>
          <w:b/>
        </w:rPr>
        <w:t>Publiciteit en samenwerking</w:t>
      </w:r>
    </w:p>
    <w:p w14:paraId="72D648E3" w14:textId="77777777" w:rsidR="0096479B" w:rsidRDefault="0096479B" w:rsidP="0096479B">
      <w:r>
        <w:t xml:space="preserve">Het bestuur neemt deel aan Pact Sam </w:t>
      </w:r>
      <w:proofErr w:type="spellStart"/>
      <w:r>
        <w:t>Sam</w:t>
      </w:r>
      <w:proofErr w:type="spellEnd"/>
      <w:r>
        <w:t xml:space="preserve"> en is zo in contact met andere organisaties op het gebied van hulpverlening voor minder draagkrachtigen. Bij de door ons gesponsorde activiteiten is onze naam vermeld.</w:t>
      </w:r>
    </w:p>
    <w:p w14:paraId="21B7246D" w14:textId="77777777" w:rsidR="0096479B" w:rsidRDefault="0096479B" w:rsidP="0096479B"/>
    <w:p w14:paraId="09FD3C19" w14:textId="77777777" w:rsidR="0096479B" w:rsidRPr="00F1505E" w:rsidRDefault="0096479B" w:rsidP="0096479B">
      <w:pPr>
        <w:rPr>
          <w:b/>
        </w:rPr>
      </w:pPr>
      <w:r w:rsidRPr="00F1505E">
        <w:rPr>
          <w:b/>
        </w:rPr>
        <w:t>Financieel beleid</w:t>
      </w:r>
    </w:p>
    <w:p w14:paraId="52F73E08" w14:textId="77777777" w:rsidR="0096479B" w:rsidRDefault="0096479B" w:rsidP="0096479B">
      <w:r>
        <w:t xml:space="preserve">De afgelopen jaren waren de uitkeringen aan de doelstelling en de bedrijfslasten hoger dan de baten. Dat was ook in 2017 het geval. De stichting heeft in haar vergadering van april 2017 het beleid geformuleerd dat beperkte negatieve resultaten niet onoverkomelijk zijn mits niet structureel ingeteerd wordt. </w:t>
      </w:r>
    </w:p>
    <w:p w14:paraId="7213A686" w14:textId="77777777" w:rsidR="0096479B" w:rsidRDefault="0096479B" w:rsidP="0096479B"/>
    <w:p w14:paraId="76E858EA" w14:textId="77777777" w:rsidR="0096479B" w:rsidRDefault="0096479B" w:rsidP="0096479B">
      <w:r>
        <w:t>Met onze vermogensbeheerders Bank ten Cate en ABNAMRO is overleg gevoerd. Ondanks de stijgende beurskoersen handhaven we een behoudend beleid. Dit overeenkomstig onze doelstelling die vraagt dat het vermogen in stand blijft zodat de vruchten voor de doelstelling aangewend kunnen worden.</w:t>
      </w:r>
    </w:p>
    <w:p w14:paraId="4AA7FB20" w14:textId="77777777" w:rsidR="0096479B" w:rsidRDefault="0096479B" w:rsidP="0096479B"/>
    <w:p w14:paraId="2959C6AE" w14:textId="77777777" w:rsidR="0096479B" w:rsidRDefault="0096479B" w:rsidP="0096479B">
      <w:r>
        <w:t>De bedrijfslasten zijn evenals voorgaande jaren zeer beperkt.</w:t>
      </w:r>
    </w:p>
    <w:p w14:paraId="7427C2B2" w14:textId="77777777" w:rsidR="0096479B" w:rsidRDefault="0096479B" w:rsidP="0096479B"/>
    <w:p w14:paraId="4EA48769" w14:textId="77777777" w:rsidR="009061E4" w:rsidRDefault="009061E4">
      <w:pPr>
        <w:rPr>
          <w:sz w:val="24"/>
          <w:szCs w:val="24"/>
        </w:rPr>
      </w:pPr>
    </w:p>
    <w:p w14:paraId="20ABAAD2" w14:textId="657CB56C" w:rsidR="009061E4" w:rsidRPr="00BC309E" w:rsidRDefault="00BC309E">
      <w:pPr>
        <w:rPr>
          <w:b/>
          <w:sz w:val="24"/>
          <w:szCs w:val="24"/>
        </w:rPr>
      </w:pPr>
      <w:r w:rsidRPr="00BC309E">
        <w:rPr>
          <w:b/>
          <w:sz w:val="24"/>
          <w:szCs w:val="24"/>
        </w:rPr>
        <w:t>Staat van baten en lasten over 2017</w:t>
      </w:r>
    </w:p>
    <w:p w14:paraId="777D2EC3" w14:textId="77777777" w:rsidR="007E4735" w:rsidRDefault="007E4735">
      <w:pPr>
        <w:rPr>
          <w:b/>
          <w:sz w:val="24"/>
          <w:szCs w:val="24"/>
          <w:u w:val="singl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274"/>
        <w:gridCol w:w="108"/>
        <w:gridCol w:w="1471"/>
        <w:gridCol w:w="108"/>
      </w:tblGrid>
      <w:tr w:rsidR="00905F41" w14:paraId="57588921" w14:textId="77777777" w:rsidTr="00BC309E">
        <w:trPr>
          <w:gridAfter w:val="1"/>
          <w:wAfter w:w="108" w:type="dxa"/>
        </w:trPr>
        <w:tc>
          <w:tcPr>
            <w:tcW w:w="5382" w:type="dxa"/>
            <w:gridSpan w:val="2"/>
          </w:tcPr>
          <w:p w14:paraId="48EACB83" w14:textId="1E70860F" w:rsidR="0040346C" w:rsidRPr="0040346C" w:rsidRDefault="0040346C">
            <w:pPr>
              <w:rPr>
                <w:b/>
                <w:sz w:val="24"/>
                <w:szCs w:val="24"/>
              </w:rPr>
            </w:pPr>
            <w:r w:rsidRPr="0040346C">
              <w:rPr>
                <w:b/>
                <w:sz w:val="24"/>
                <w:szCs w:val="24"/>
              </w:rPr>
              <w:t>Baten</w:t>
            </w:r>
          </w:p>
        </w:tc>
        <w:tc>
          <w:tcPr>
            <w:tcW w:w="1579" w:type="dxa"/>
            <w:gridSpan w:val="2"/>
          </w:tcPr>
          <w:p w14:paraId="728E4777" w14:textId="77777777" w:rsidR="0040346C" w:rsidRPr="0040346C" w:rsidRDefault="0040346C">
            <w:pPr>
              <w:rPr>
                <w:b/>
                <w:sz w:val="24"/>
                <w:szCs w:val="24"/>
              </w:rPr>
            </w:pPr>
          </w:p>
        </w:tc>
      </w:tr>
      <w:tr w:rsidR="00905F41" w14:paraId="3606A6DC" w14:textId="77777777" w:rsidTr="00BC309E">
        <w:trPr>
          <w:gridAfter w:val="1"/>
          <w:wAfter w:w="108" w:type="dxa"/>
          <w:trHeight w:val="316"/>
        </w:trPr>
        <w:tc>
          <w:tcPr>
            <w:tcW w:w="5382" w:type="dxa"/>
            <w:gridSpan w:val="2"/>
          </w:tcPr>
          <w:p w14:paraId="7A919C37" w14:textId="5DD3A3EC" w:rsidR="0040346C" w:rsidRPr="0040346C" w:rsidRDefault="0040346C">
            <w:pPr>
              <w:rPr>
                <w:sz w:val="24"/>
                <w:szCs w:val="24"/>
              </w:rPr>
            </w:pPr>
            <w:r w:rsidRPr="0040346C">
              <w:rPr>
                <w:sz w:val="24"/>
                <w:szCs w:val="24"/>
              </w:rPr>
              <w:t>Baten uit beleggingen</w:t>
            </w:r>
          </w:p>
        </w:tc>
        <w:tc>
          <w:tcPr>
            <w:tcW w:w="1579" w:type="dxa"/>
            <w:gridSpan w:val="2"/>
          </w:tcPr>
          <w:p w14:paraId="3F22D308" w14:textId="36A58417" w:rsidR="0040346C" w:rsidRPr="0040346C" w:rsidRDefault="00905F41" w:rsidP="00905F41">
            <w:pPr>
              <w:jc w:val="right"/>
              <w:rPr>
                <w:sz w:val="24"/>
                <w:szCs w:val="24"/>
              </w:rPr>
            </w:pPr>
            <w:r>
              <w:rPr>
                <w:sz w:val="24"/>
                <w:szCs w:val="24"/>
              </w:rPr>
              <w:t xml:space="preserve">€ </w:t>
            </w:r>
            <w:r w:rsidR="0040346C" w:rsidRPr="0040346C">
              <w:rPr>
                <w:sz w:val="24"/>
                <w:szCs w:val="24"/>
              </w:rPr>
              <w:t>35.</w:t>
            </w:r>
            <w:r w:rsidR="0096479B">
              <w:rPr>
                <w:sz w:val="24"/>
                <w:szCs w:val="24"/>
              </w:rPr>
              <w:t>087</w:t>
            </w:r>
          </w:p>
        </w:tc>
      </w:tr>
      <w:tr w:rsidR="00905F41" w14:paraId="03E31375" w14:textId="77777777" w:rsidTr="00BC309E">
        <w:trPr>
          <w:gridAfter w:val="1"/>
          <w:wAfter w:w="108" w:type="dxa"/>
        </w:trPr>
        <w:tc>
          <w:tcPr>
            <w:tcW w:w="5382" w:type="dxa"/>
            <w:gridSpan w:val="2"/>
          </w:tcPr>
          <w:p w14:paraId="383C0E4E" w14:textId="351BB1F2" w:rsidR="0040346C" w:rsidRPr="0040346C" w:rsidRDefault="0040346C">
            <w:pPr>
              <w:rPr>
                <w:sz w:val="24"/>
                <w:szCs w:val="24"/>
              </w:rPr>
            </w:pPr>
            <w:r>
              <w:rPr>
                <w:sz w:val="24"/>
                <w:szCs w:val="24"/>
              </w:rPr>
              <w:t>Overig baten</w:t>
            </w:r>
          </w:p>
        </w:tc>
        <w:tc>
          <w:tcPr>
            <w:tcW w:w="1579" w:type="dxa"/>
            <w:gridSpan w:val="2"/>
          </w:tcPr>
          <w:p w14:paraId="72FD8BA4" w14:textId="028670AD" w:rsidR="0040346C" w:rsidRPr="0040346C" w:rsidRDefault="0040346C" w:rsidP="00905F41">
            <w:pPr>
              <w:jc w:val="right"/>
              <w:rPr>
                <w:sz w:val="24"/>
                <w:szCs w:val="24"/>
              </w:rPr>
            </w:pPr>
            <w:r>
              <w:rPr>
                <w:sz w:val="24"/>
                <w:szCs w:val="24"/>
              </w:rPr>
              <w:t>0</w:t>
            </w:r>
          </w:p>
        </w:tc>
      </w:tr>
      <w:tr w:rsidR="00905F41" w14:paraId="48CFAB55" w14:textId="77777777" w:rsidTr="00BC309E">
        <w:trPr>
          <w:gridAfter w:val="1"/>
          <w:wAfter w:w="108" w:type="dxa"/>
        </w:trPr>
        <w:tc>
          <w:tcPr>
            <w:tcW w:w="5382" w:type="dxa"/>
            <w:gridSpan w:val="2"/>
          </w:tcPr>
          <w:p w14:paraId="396E332A" w14:textId="77777777" w:rsidR="0040346C" w:rsidRPr="0040346C" w:rsidRDefault="0040346C">
            <w:pPr>
              <w:rPr>
                <w:sz w:val="24"/>
                <w:szCs w:val="24"/>
              </w:rPr>
            </w:pPr>
          </w:p>
        </w:tc>
        <w:tc>
          <w:tcPr>
            <w:tcW w:w="1579" w:type="dxa"/>
            <w:gridSpan w:val="2"/>
          </w:tcPr>
          <w:p w14:paraId="53ADACEC" w14:textId="77777777" w:rsidR="0040346C" w:rsidRPr="0040346C" w:rsidRDefault="0040346C" w:rsidP="00905F41">
            <w:pPr>
              <w:jc w:val="right"/>
              <w:rPr>
                <w:sz w:val="24"/>
                <w:szCs w:val="24"/>
              </w:rPr>
            </w:pPr>
          </w:p>
        </w:tc>
      </w:tr>
      <w:tr w:rsidR="00905F41" w14:paraId="01E51F2C" w14:textId="77777777" w:rsidTr="00BC309E">
        <w:trPr>
          <w:gridAfter w:val="1"/>
          <w:wAfter w:w="108" w:type="dxa"/>
        </w:trPr>
        <w:tc>
          <w:tcPr>
            <w:tcW w:w="5382" w:type="dxa"/>
            <w:gridSpan w:val="2"/>
          </w:tcPr>
          <w:p w14:paraId="61ECAE4C" w14:textId="7A9D5591" w:rsidR="0040346C" w:rsidRPr="0040346C" w:rsidRDefault="0040346C">
            <w:pPr>
              <w:rPr>
                <w:sz w:val="24"/>
                <w:szCs w:val="24"/>
              </w:rPr>
            </w:pPr>
            <w:r>
              <w:rPr>
                <w:sz w:val="24"/>
                <w:szCs w:val="24"/>
              </w:rPr>
              <w:t>Totaal baten</w:t>
            </w:r>
          </w:p>
        </w:tc>
        <w:tc>
          <w:tcPr>
            <w:tcW w:w="1579" w:type="dxa"/>
            <w:gridSpan w:val="2"/>
          </w:tcPr>
          <w:p w14:paraId="4FE79251" w14:textId="5BED5BFC" w:rsidR="0040346C" w:rsidRPr="0040346C" w:rsidRDefault="00905F41" w:rsidP="00905F41">
            <w:pPr>
              <w:jc w:val="right"/>
              <w:rPr>
                <w:sz w:val="24"/>
                <w:szCs w:val="24"/>
              </w:rPr>
            </w:pPr>
            <w:r>
              <w:rPr>
                <w:sz w:val="24"/>
                <w:szCs w:val="24"/>
              </w:rPr>
              <w:t xml:space="preserve">€ </w:t>
            </w:r>
            <w:r w:rsidR="0040346C">
              <w:rPr>
                <w:sz w:val="24"/>
                <w:szCs w:val="24"/>
              </w:rPr>
              <w:t>35.</w:t>
            </w:r>
            <w:r w:rsidR="0096479B">
              <w:rPr>
                <w:sz w:val="24"/>
                <w:szCs w:val="24"/>
              </w:rPr>
              <w:t>087</w:t>
            </w:r>
          </w:p>
        </w:tc>
      </w:tr>
      <w:tr w:rsidR="00905F41" w14:paraId="1677879E" w14:textId="77777777" w:rsidTr="00BC309E">
        <w:trPr>
          <w:gridAfter w:val="1"/>
          <w:wAfter w:w="108" w:type="dxa"/>
        </w:trPr>
        <w:tc>
          <w:tcPr>
            <w:tcW w:w="5382" w:type="dxa"/>
            <w:gridSpan w:val="2"/>
          </w:tcPr>
          <w:p w14:paraId="4DE9841F" w14:textId="77777777" w:rsidR="0040346C" w:rsidRPr="0040346C" w:rsidRDefault="0040346C">
            <w:pPr>
              <w:rPr>
                <w:sz w:val="24"/>
                <w:szCs w:val="24"/>
              </w:rPr>
            </w:pPr>
          </w:p>
        </w:tc>
        <w:tc>
          <w:tcPr>
            <w:tcW w:w="1579" w:type="dxa"/>
            <w:gridSpan w:val="2"/>
          </w:tcPr>
          <w:p w14:paraId="127E6864" w14:textId="77777777" w:rsidR="0040346C" w:rsidRPr="0040346C" w:rsidRDefault="0040346C" w:rsidP="00905F41">
            <w:pPr>
              <w:jc w:val="right"/>
              <w:rPr>
                <w:sz w:val="24"/>
                <w:szCs w:val="24"/>
              </w:rPr>
            </w:pPr>
          </w:p>
        </w:tc>
      </w:tr>
      <w:tr w:rsidR="00905F41" w14:paraId="3ACB9D69" w14:textId="77777777" w:rsidTr="00BC309E">
        <w:trPr>
          <w:gridAfter w:val="1"/>
          <w:wAfter w:w="108" w:type="dxa"/>
        </w:trPr>
        <w:tc>
          <w:tcPr>
            <w:tcW w:w="5382" w:type="dxa"/>
            <w:gridSpan w:val="2"/>
          </w:tcPr>
          <w:p w14:paraId="029A7039" w14:textId="73D3F077" w:rsidR="0040346C" w:rsidRPr="0040346C" w:rsidRDefault="0040346C">
            <w:pPr>
              <w:rPr>
                <w:b/>
                <w:sz w:val="24"/>
                <w:szCs w:val="24"/>
              </w:rPr>
            </w:pPr>
            <w:r>
              <w:rPr>
                <w:b/>
                <w:sz w:val="24"/>
                <w:szCs w:val="24"/>
              </w:rPr>
              <w:t>Lasten</w:t>
            </w:r>
          </w:p>
        </w:tc>
        <w:tc>
          <w:tcPr>
            <w:tcW w:w="1579" w:type="dxa"/>
            <w:gridSpan w:val="2"/>
          </w:tcPr>
          <w:p w14:paraId="79CFFA8B" w14:textId="77777777" w:rsidR="0040346C" w:rsidRPr="0040346C" w:rsidRDefault="0040346C" w:rsidP="00905F41">
            <w:pPr>
              <w:jc w:val="right"/>
              <w:rPr>
                <w:sz w:val="24"/>
                <w:szCs w:val="24"/>
              </w:rPr>
            </w:pPr>
          </w:p>
        </w:tc>
      </w:tr>
      <w:tr w:rsidR="00905F41" w14:paraId="05667864" w14:textId="77777777" w:rsidTr="00BC309E">
        <w:trPr>
          <w:gridAfter w:val="1"/>
          <w:wAfter w:w="108" w:type="dxa"/>
        </w:trPr>
        <w:tc>
          <w:tcPr>
            <w:tcW w:w="5382" w:type="dxa"/>
            <w:gridSpan w:val="2"/>
          </w:tcPr>
          <w:p w14:paraId="306299BD" w14:textId="24BCEB96" w:rsidR="0040346C" w:rsidRPr="0040346C" w:rsidRDefault="0040346C">
            <w:pPr>
              <w:rPr>
                <w:sz w:val="24"/>
                <w:szCs w:val="24"/>
              </w:rPr>
            </w:pPr>
            <w:r>
              <w:rPr>
                <w:sz w:val="24"/>
                <w:szCs w:val="24"/>
              </w:rPr>
              <w:t>Uitkeringen overeenkomstig de doelstelling</w:t>
            </w:r>
          </w:p>
        </w:tc>
        <w:tc>
          <w:tcPr>
            <w:tcW w:w="1579" w:type="dxa"/>
            <w:gridSpan w:val="2"/>
          </w:tcPr>
          <w:p w14:paraId="51B0C445" w14:textId="13BA50CC" w:rsidR="0040346C" w:rsidRPr="0040346C" w:rsidRDefault="00905F41" w:rsidP="00905F41">
            <w:pPr>
              <w:jc w:val="right"/>
              <w:rPr>
                <w:sz w:val="24"/>
                <w:szCs w:val="24"/>
              </w:rPr>
            </w:pPr>
            <w:r>
              <w:rPr>
                <w:sz w:val="24"/>
                <w:szCs w:val="24"/>
              </w:rPr>
              <w:t xml:space="preserve">€ </w:t>
            </w:r>
            <w:r w:rsidR="0096479B">
              <w:rPr>
                <w:sz w:val="24"/>
                <w:szCs w:val="24"/>
              </w:rPr>
              <w:t>39.250</w:t>
            </w:r>
          </w:p>
        </w:tc>
      </w:tr>
      <w:tr w:rsidR="00905F41" w14:paraId="54BBE8DA" w14:textId="77777777" w:rsidTr="00BC309E">
        <w:trPr>
          <w:gridAfter w:val="1"/>
          <w:wAfter w:w="108" w:type="dxa"/>
        </w:trPr>
        <w:tc>
          <w:tcPr>
            <w:tcW w:w="5382" w:type="dxa"/>
            <w:gridSpan w:val="2"/>
          </w:tcPr>
          <w:p w14:paraId="47254854" w14:textId="58E7BBD4" w:rsidR="0040346C" w:rsidRPr="0040346C" w:rsidRDefault="0040346C">
            <w:pPr>
              <w:rPr>
                <w:sz w:val="24"/>
                <w:szCs w:val="24"/>
              </w:rPr>
            </w:pPr>
            <w:r>
              <w:rPr>
                <w:sz w:val="24"/>
                <w:szCs w:val="24"/>
              </w:rPr>
              <w:t>Kantoorlasten</w:t>
            </w:r>
          </w:p>
        </w:tc>
        <w:tc>
          <w:tcPr>
            <w:tcW w:w="1579" w:type="dxa"/>
            <w:gridSpan w:val="2"/>
          </w:tcPr>
          <w:p w14:paraId="7C549A99" w14:textId="146F8D26" w:rsidR="0040346C" w:rsidRPr="0040346C" w:rsidRDefault="00905F41" w:rsidP="00905F41">
            <w:pPr>
              <w:jc w:val="right"/>
              <w:rPr>
                <w:sz w:val="24"/>
                <w:szCs w:val="24"/>
              </w:rPr>
            </w:pPr>
            <w:r>
              <w:rPr>
                <w:sz w:val="24"/>
                <w:szCs w:val="24"/>
              </w:rPr>
              <w:t xml:space="preserve">€ </w:t>
            </w:r>
            <w:r w:rsidR="0096479B">
              <w:rPr>
                <w:sz w:val="24"/>
                <w:szCs w:val="24"/>
              </w:rPr>
              <w:t>73</w:t>
            </w:r>
          </w:p>
        </w:tc>
      </w:tr>
      <w:tr w:rsidR="00905F41" w14:paraId="326A8B10" w14:textId="77777777" w:rsidTr="00BC309E">
        <w:trPr>
          <w:gridAfter w:val="1"/>
          <w:wAfter w:w="108" w:type="dxa"/>
        </w:trPr>
        <w:tc>
          <w:tcPr>
            <w:tcW w:w="5382" w:type="dxa"/>
            <w:gridSpan w:val="2"/>
          </w:tcPr>
          <w:p w14:paraId="47E0C40B" w14:textId="384E50AD" w:rsidR="0040346C" w:rsidRPr="0040346C" w:rsidRDefault="005F260F">
            <w:pPr>
              <w:rPr>
                <w:sz w:val="24"/>
                <w:szCs w:val="24"/>
              </w:rPr>
            </w:pPr>
            <w:r>
              <w:rPr>
                <w:sz w:val="24"/>
                <w:szCs w:val="24"/>
              </w:rPr>
              <w:t>Algemene lasten</w:t>
            </w:r>
          </w:p>
        </w:tc>
        <w:tc>
          <w:tcPr>
            <w:tcW w:w="1579" w:type="dxa"/>
            <w:gridSpan w:val="2"/>
          </w:tcPr>
          <w:p w14:paraId="14CDB377" w14:textId="0F3398BA" w:rsidR="0040346C" w:rsidRPr="0040346C" w:rsidRDefault="00905F41" w:rsidP="00905F41">
            <w:pPr>
              <w:jc w:val="right"/>
              <w:rPr>
                <w:sz w:val="24"/>
                <w:szCs w:val="24"/>
              </w:rPr>
            </w:pPr>
            <w:r>
              <w:rPr>
                <w:sz w:val="24"/>
                <w:szCs w:val="24"/>
              </w:rPr>
              <w:t xml:space="preserve">€ </w:t>
            </w:r>
            <w:r w:rsidR="005F260F">
              <w:rPr>
                <w:sz w:val="24"/>
                <w:szCs w:val="24"/>
              </w:rPr>
              <w:t>3</w:t>
            </w:r>
            <w:r w:rsidR="0096479B">
              <w:rPr>
                <w:sz w:val="24"/>
                <w:szCs w:val="24"/>
              </w:rPr>
              <w:t>.093</w:t>
            </w:r>
          </w:p>
        </w:tc>
      </w:tr>
      <w:tr w:rsidR="00905F41" w14:paraId="343B0591" w14:textId="77777777" w:rsidTr="00BC309E">
        <w:trPr>
          <w:gridAfter w:val="1"/>
          <w:wAfter w:w="108" w:type="dxa"/>
        </w:trPr>
        <w:tc>
          <w:tcPr>
            <w:tcW w:w="5382" w:type="dxa"/>
            <w:gridSpan w:val="2"/>
          </w:tcPr>
          <w:p w14:paraId="3C65AC72" w14:textId="672808C1" w:rsidR="0040346C" w:rsidRPr="0040346C" w:rsidRDefault="00482BB1">
            <w:pPr>
              <w:rPr>
                <w:sz w:val="24"/>
                <w:szCs w:val="24"/>
              </w:rPr>
            </w:pPr>
            <w:r>
              <w:rPr>
                <w:sz w:val="24"/>
                <w:szCs w:val="24"/>
              </w:rPr>
              <w:t>Rentelasten</w:t>
            </w:r>
          </w:p>
        </w:tc>
        <w:tc>
          <w:tcPr>
            <w:tcW w:w="1579" w:type="dxa"/>
            <w:gridSpan w:val="2"/>
          </w:tcPr>
          <w:p w14:paraId="23955DC5" w14:textId="6C8C4636" w:rsidR="0040346C" w:rsidRPr="0040346C" w:rsidRDefault="00905F41" w:rsidP="00905F41">
            <w:pPr>
              <w:jc w:val="right"/>
              <w:rPr>
                <w:sz w:val="24"/>
                <w:szCs w:val="24"/>
              </w:rPr>
            </w:pPr>
            <w:r>
              <w:rPr>
                <w:sz w:val="24"/>
                <w:szCs w:val="24"/>
              </w:rPr>
              <w:t xml:space="preserve">€ </w:t>
            </w:r>
            <w:r w:rsidR="00482BB1">
              <w:rPr>
                <w:sz w:val="24"/>
                <w:szCs w:val="24"/>
              </w:rPr>
              <w:t>22</w:t>
            </w:r>
            <w:r w:rsidR="0096479B">
              <w:rPr>
                <w:sz w:val="24"/>
                <w:szCs w:val="24"/>
              </w:rPr>
              <w:t>5</w:t>
            </w:r>
          </w:p>
        </w:tc>
      </w:tr>
      <w:tr w:rsidR="00905F41" w14:paraId="43009758" w14:textId="77777777" w:rsidTr="00BC309E">
        <w:trPr>
          <w:gridAfter w:val="1"/>
          <w:wAfter w:w="108" w:type="dxa"/>
        </w:trPr>
        <w:tc>
          <w:tcPr>
            <w:tcW w:w="5382" w:type="dxa"/>
            <w:gridSpan w:val="2"/>
          </w:tcPr>
          <w:p w14:paraId="57514B97" w14:textId="77777777" w:rsidR="0040346C" w:rsidRPr="0040346C" w:rsidRDefault="0040346C">
            <w:pPr>
              <w:rPr>
                <w:sz w:val="24"/>
                <w:szCs w:val="24"/>
              </w:rPr>
            </w:pPr>
          </w:p>
        </w:tc>
        <w:tc>
          <w:tcPr>
            <w:tcW w:w="1579" w:type="dxa"/>
            <w:gridSpan w:val="2"/>
          </w:tcPr>
          <w:p w14:paraId="64CDB75F" w14:textId="77777777" w:rsidR="0040346C" w:rsidRPr="0040346C" w:rsidRDefault="0040346C" w:rsidP="00905F41">
            <w:pPr>
              <w:jc w:val="right"/>
              <w:rPr>
                <w:sz w:val="24"/>
                <w:szCs w:val="24"/>
              </w:rPr>
            </w:pPr>
          </w:p>
        </w:tc>
      </w:tr>
      <w:tr w:rsidR="00905F41" w14:paraId="23C57295" w14:textId="77777777" w:rsidTr="00BC309E">
        <w:trPr>
          <w:gridAfter w:val="1"/>
          <w:wAfter w:w="108" w:type="dxa"/>
        </w:trPr>
        <w:tc>
          <w:tcPr>
            <w:tcW w:w="5382" w:type="dxa"/>
            <w:gridSpan w:val="2"/>
          </w:tcPr>
          <w:p w14:paraId="08BAF106" w14:textId="3447F4E7" w:rsidR="0040346C" w:rsidRPr="0040346C" w:rsidRDefault="00482BB1">
            <w:pPr>
              <w:rPr>
                <w:sz w:val="24"/>
                <w:szCs w:val="24"/>
              </w:rPr>
            </w:pPr>
            <w:r>
              <w:rPr>
                <w:sz w:val="24"/>
                <w:szCs w:val="24"/>
              </w:rPr>
              <w:t>Totaal lasten</w:t>
            </w:r>
          </w:p>
        </w:tc>
        <w:tc>
          <w:tcPr>
            <w:tcW w:w="1579" w:type="dxa"/>
            <w:gridSpan w:val="2"/>
          </w:tcPr>
          <w:p w14:paraId="06BD35CB" w14:textId="37476124" w:rsidR="0040346C" w:rsidRPr="0040346C" w:rsidRDefault="00905F41" w:rsidP="00905F41">
            <w:pPr>
              <w:jc w:val="right"/>
              <w:rPr>
                <w:sz w:val="24"/>
                <w:szCs w:val="24"/>
              </w:rPr>
            </w:pPr>
            <w:r>
              <w:rPr>
                <w:sz w:val="24"/>
                <w:szCs w:val="24"/>
              </w:rPr>
              <w:t xml:space="preserve">€ </w:t>
            </w:r>
            <w:r w:rsidR="0096479B">
              <w:rPr>
                <w:sz w:val="24"/>
                <w:szCs w:val="24"/>
              </w:rPr>
              <w:t>42.416</w:t>
            </w:r>
          </w:p>
        </w:tc>
      </w:tr>
      <w:tr w:rsidR="00905F41" w14:paraId="5F386664" w14:textId="77777777" w:rsidTr="00BC309E">
        <w:trPr>
          <w:gridAfter w:val="1"/>
          <w:wAfter w:w="108" w:type="dxa"/>
        </w:trPr>
        <w:tc>
          <w:tcPr>
            <w:tcW w:w="5382" w:type="dxa"/>
            <w:gridSpan w:val="2"/>
          </w:tcPr>
          <w:p w14:paraId="68C97CB1" w14:textId="77777777" w:rsidR="0040346C" w:rsidRPr="0040346C" w:rsidRDefault="0040346C">
            <w:pPr>
              <w:rPr>
                <w:sz w:val="24"/>
                <w:szCs w:val="24"/>
              </w:rPr>
            </w:pPr>
          </w:p>
        </w:tc>
        <w:tc>
          <w:tcPr>
            <w:tcW w:w="1579" w:type="dxa"/>
            <w:gridSpan w:val="2"/>
          </w:tcPr>
          <w:p w14:paraId="14C185D8" w14:textId="77777777" w:rsidR="0040346C" w:rsidRPr="0040346C" w:rsidRDefault="0040346C" w:rsidP="00905F41">
            <w:pPr>
              <w:jc w:val="right"/>
              <w:rPr>
                <w:sz w:val="24"/>
                <w:szCs w:val="24"/>
              </w:rPr>
            </w:pPr>
          </w:p>
        </w:tc>
      </w:tr>
      <w:tr w:rsidR="00905F41" w14:paraId="3CC0A3A8" w14:textId="77777777" w:rsidTr="00BC309E">
        <w:trPr>
          <w:gridAfter w:val="1"/>
          <w:wAfter w:w="108" w:type="dxa"/>
        </w:trPr>
        <w:tc>
          <w:tcPr>
            <w:tcW w:w="5382" w:type="dxa"/>
            <w:gridSpan w:val="2"/>
          </w:tcPr>
          <w:p w14:paraId="11BCE9A4" w14:textId="3F304D96" w:rsidR="0040346C" w:rsidRPr="00482BB1" w:rsidRDefault="00482BB1">
            <w:pPr>
              <w:rPr>
                <w:b/>
                <w:sz w:val="24"/>
                <w:szCs w:val="24"/>
              </w:rPr>
            </w:pPr>
            <w:r w:rsidRPr="00482BB1">
              <w:rPr>
                <w:b/>
                <w:sz w:val="24"/>
                <w:szCs w:val="24"/>
              </w:rPr>
              <w:t>Saldo</w:t>
            </w:r>
          </w:p>
        </w:tc>
        <w:tc>
          <w:tcPr>
            <w:tcW w:w="1579" w:type="dxa"/>
            <w:gridSpan w:val="2"/>
          </w:tcPr>
          <w:p w14:paraId="175BEDDB" w14:textId="43D46114" w:rsidR="0040346C" w:rsidRPr="00482BB1" w:rsidRDefault="00482BB1" w:rsidP="00905F41">
            <w:pPr>
              <w:jc w:val="right"/>
              <w:rPr>
                <w:b/>
                <w:sz w:val="24"/>
                <w:szCs w:val="24"/>
              </w:rPr>
            </w:pPr>
            <w:r w:rsidRPr="00482BB1">
              <w:rPr>
                <w:b/>
                <w:sz w:val="24"/>
                <w:szCs w:val="24"/>
              </w:rPr>
              <w:t xml:space="preserve">-/- </w:t>
            </w:r>
            <w:r w:rsidR="0096479B">
              <w:rPr>
                <w:b/>
                <w:sz w:val="24"/>
                <w:szCs w:val="24"/>
              </w:rPr>
              <w:t>7.554</w:t>
            </w:r>
          </w:p>
        </w:tc>
      </w:tr>
      <w:tr w:rsidR="00905F41" w14:paraId="262DD8FC" w14:textId="77777777" w:rsidTr="00BC309E">
        <w:trPr>
          <w:gridBefore w:val="1"/>
          <w:wBefore w:w="108" w:type="dxa"/>
        </w:trPr>
        <w:tc>
          <w:tcPr>
            <w:tcW w:w="5382" w:type="dxa"/>
            <w:gridSpan w:val="2"/>
          </w:tcPr>
          <w:p w14:paraId="4553273E" w14:textId="77777777" w:rsidR="0040346C" w:rsidRPr="0040346C" w:rsidRDefault="0040346C">
            <w:pPr>
              <w:rPr>
                <w:sz w:val="24"/>
                <w:szCs w:val="24"/>
              </w:rPr>
            </w:pPr>
          </w:p>
        </w:tc>
        <w:tc>
          <w:tcPr>
            <w:tcW w:w="1579" w:type="dxa"/>
            <w:gridSpan w:val="2"/>
          </w:tcPr>
          <w:p w14:paraId="22154CBE" w14:textId="77777777" w:rsidR="0040346C" w:rsidRPr="0040346C" w:rsidRDefault="0040346C" w:rsidP="00905F41">
            <w:pPr>
              <w:jc w:val="right"/>
              <w:rPr>
                <w:sz w:val="24"/>
                <w:szCs w:val="24"/>
              </w:rPr>
            </w:pPr>
          </w:p>
        </w:tc>
      </w:tr>
      <w:tr w:rsidR="00905F41" w14:paraId="70CB12B5" w14:textId="77777777" w:rsidTr="00BC309E">
        <w:trPr>
          <w:gridBefore w:val="1"/>
          <w:wBefore w:w="108" w:type="dxa"/>
        </w:trPr>
        <w:tc>
          <w:tcPr>
            <w:tcW w:w="5382" w:type="dxa"/>
            <w:gridSpan w:val="2"/>
          </w:tcPr>
          <w:p w14:paraId="47EA0BB8" w14:textId="77777777" w:rsidR="0040346C" w:rsidRPr="0040346C" w:rsidRDefault="0040346C">
            <w:pPr>
              <w:rPr>
                <w:sz w:val="24"/>
                <w:szCs w:val="24"/>
              </w:rPr>
            </w:pPr>
          </w:p>
        </w:tc>
        <w:tc>
          <w:tcPr>
            <w:tcW w:w="1579" w:type="dxa"/>
            <w:gridSpan w:val="2"/>
          </w:tcPr>
          <w:p w14:paraId="78D07951" w14:textId="77777777" w:rsidR="0040346C" w:rsidRPr="0040346C" w:rsidRDefault="0040346C" w:rsidP="00905F41">
            <w:pPr>
              <w:jc w:val="right"/>
              <w:rPr>
                <w:sz w:val="24"/>
                <w:szCs w:val="24"/>
              </w:rPr>
            </w:pPr>
          </w:p>
        </w:tc>
      </w:tr>
      <w:tr w:rsidR="00905F41" w14:paraId="098B9E9A" w14:textId="77777777" w:rsidTr="00BC309E">
        <w:trPr>
          <w:gridBefore w:val="1"/>
          <w:wBefore w:w="108" w:type="dxa"/>
        </w:trPr>
        <w:tc>
          <w:tcPr>
            <w:tcW w:w="5382" w:type="dxa"/>
            <w:gridSpan w:val="2"/>
          </w:tcPr>
          <w:p w14:paraId="39999461" w14:textId="77777777" w:rsidR="0040346C" w:rsidRPr="0040346C" w:rsidRDefault="0040346C">
            <w:pPr>
              <w:rPr>
                <w:sz w:val="24"/>
                <w:szCs w:val="24"/>
              </w:rPr>
            </w:pPr>
          </w:p>
        </w:tc>
        <w:tc>
          <w:tcPr>
            <w:tcW w:w="1579" w:type="dxa"/>
            <w:gridSpan w:val="2"/>
          </w:tcPr>
          <w:p w14:paraId="53DE12FF" w14:textId="77777777" w:rsidR="0040346C" w:rsidRPr="0040346C" w:rsidRDefault="0040346C">
            <w:pPr>
              <w:rPr>
                <w:sz w:val="24"/>
                <w:szCs w:val="24"/>
              </w:rPr>
            </w:pPr>
          </w:p>
        </w:tc>
      </w:tr>
      <w:tr w:rsidR="00905F41" w14:paraId="5689CB22" w14:textId="77777777" w:rsidTr="00BC309E">
        <w:trPr>
          <w:gridBefore w:val="1"/>
          <w:wBefore w:w="108" w:type="dxa"/>
          <w:trHeight w:val="288"/>
        </w:trPr>
        <w:tc>
          <w:tcPr>
            <w:tcW w:w="5382" w:type="dxa"/>
            <w:gridSpan w:val="2"/>
          </w:tcPr>
          <w:p w14:paraId="4C5024E1" w14:textId="77777777" w:rsidR="0040346C" w:rsidRPr="0040346C" w:rsidRDefault="0040346C">
            <w:pPr>
              <w:rPr>
                <w:sz w:val="24"/>
                <w:szCs w:val="24"/>
              </w:rPr>
            </w:pPr>
          </w:p>
        </w:tc>
        <w:tc>
          <w:tcPr>
            <w:tcW w:w="1579" w:type="dxa"/>
            <w:gridSpan w:val="2"/>
          </w:tcPr>
          <w:p w14:paraId="39A3A8A6" w14:textId="77777777" w:rsidR="0040346C" w:rsidRPr="0040346C" w:rsidRDefault="0040346C">
            <w:pPr>
              <w:rPr>
                <w:sz w:val="24"/>
                <w:szCs w:val="24"/>
              </w:rPr>
            </w:pPr>
          </w:p>
        </w:tc>
      </w:tr>
      <w:tr w:rsidR="00905F41" w14:paraId="72CF86BA" w14:textId="77777777" w:rsidTr="00BC309E">
        <w:trPr>
          <w:gridBefore w:val="1"/>
          <w:wBefore w:w="108" w:type="dxa"/>
        </w:trPr>
        <w:tc>
          <w:tcPr>
            <w:tcW w:w="5382" w:type="dxa"/>
            <w:gridSpan w:val="2"/>
          </w:tcPr>
          <w:p w14:paraId="7F42C797" w14:textId="77777777" w:rsidR="0040346C" w:rsidRPr="0040346C" w:rsidRDefault="0040346C">
            <w:pPr>
              <w:rPr>
                <w:sz w:val="24"/>
                <w:szCs w:val="24"/>
              </w:rPr>
            </w:pPr>
          </w:p>
        </w:tc>
        <w:tc>
          <w:tcPr>
            <w:tcW w:w="1579" w:type="dxa"/>
            <w:gridSpan w:val="2"/>
          </w:tcPr>
          <w:p w14:paraId="3FEFEFCE" w14:textId="77777777" w:rsidR="0040346C" w:rsidRPr="0040346C" w:rsidRDefault="0040346C">
            <w:pPr>
              <w:rPr>
                <w:sz w:val="24"/>
                <w:szCs w:val="24"/>
              </w:rPr>
            </w:pPr>
          </w:p>
        </w:tc>
      </w:tr>
    </w:tbl>
    <w:p w14:paraId="565737A8" w14:textId="77777777" w:rsidR="0040346C" w:rsidRDefault="0040346C">
      <w:pPr>
        <w:rPr>
          <w:b/>
          <w:sz w:val="24"/>
          <w:szCs w:val="24"/>
          <w:u w:val="single"/>
        </w:rPr>
      </w:pPr>
    </w:p>
    <w:p w14:paraId="1877EEAC" w14:textId="77777777" w:rsidR="007E4735" w:rsidRPr="00905F41" w:rsidRDefault="007E4735">
      <w:pPr>
        <w:rPr>
          <w:b/>
          <w:sz w:val="24"/>
          <w:szCs w:val="24"/>
        </w:rPr>
      </w:pPr>
      <w:r w:rsidRPr="00905F41">
        <w:rPr>
          <w:b/>
          <w:sz w:val="24"/>
          <w:szCs w:val="24"/>
        </w:rPr>
        <w:t>Opmerkingen:</w:t>
      </w:r>
    </w:p>
    <w:p w14:paraId="0474F992" w14:textId="77777777" w:rsidR="00905F41" w:rsidRDefault="007E4735">
      <w:pPr>
        <w:rPr>
          <w:sz w:val="24"/>
          <w:szCs w:val="24"/>
        </w:rPr>
      </w:pPr>
      <w:r>
        <w:rPr>
          <w:sz w:val="24"/>
          <w:szCs w:val="24"/>
        </w:rPr>
        <w:t>Bij de baten zijn de netto bedragen vermeld. De onkosten die de banken in rekening brengen zijn reeds in mindering gebracht.</w:t>
      </w:r>
      <w:r w:rsidR="005D0BD8">
        <w:rPr>
          <w:sz w:val="24"/>
          <w:szCs w:val="24"/>
        </w:rPr>
        <w:t xml:space="preserve"> </w:t>
      </w:r>
    </w:p>
    <w:p w14:paraId="3DB92314" w14:textId="77777777" w:rsidR="00905F41" w:rsidRDefault="00905F41">
      <w:pPr>
        <w:rPr>
          <w:sz w:val="24"/>
          <w:szCs w:val="24"/>
        </w:rPr>
      </w:pPr>
    </w:p>
    <w:p w14:paraId="4C0BEB77" w14:textId="6FA0BFCD" w:rsidR="007E4735" w:rsidRDefault="0096479B">
      <w:pPr>
        <w:rPr>
          <w:sz w:val="24"/>
          <w:szCs w:val="24"/>
        </w:rPr>
      </w:pPr>
      <w:r>
        <w:rPr>
          <w:sz w:val="24"/>
          <w:szCs w:val="24"/>
        </w:rPr>
        <w:t>Het resultaat 2017, een tekort van € 7.554</w:t>
      </w:r>
      <w:r w:rsidR="00905F41">
        <w:rPr>
          <w:sz w:val="24"/>
          <w:szCs w:val="24"/>
        </w:rPr>
        <w:t>,- wordt in mindering gebracht op het vermogen.</w:t>
      </w:r>
    </w:p>
    <w:p w14:paraId="005509CE" w14:textId="77777777" w:rsidR="005D0BD8" w:rsidRDefault="005D0BD8">
      <w:pPr>
        <w:rPr>
          <w:sz w:val="24"/>
          <w:szCs w:val="24"/>
        </w:rPr>
      </w:pPr>
    </w:p>
    <w:p w14:paraId="5965C195" w14:textId="33842589" w:rsidR="007E4735" w:rsidRPr="007E4735" w:rsidRDefault="007E4735">
      <w:pPr>
        <w:rPr>
          <w:sz w:val="24"/>
          <w:szCs w:val="24"/>
        </w:rPr>
      </w:pPr>
    </w:p>
    <w:sectPr w:rsidR="007E4735" w:rsidRPr="007E4735" w:rsidSect="00BC309E">
      <w:pgSz w:w="11906" w:h="16838"/>
      <w:pgMar w:top="1417" w:right="1417" w:bottom="10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32B"/>
    <w:multiLevelType w:val="hybridMultilevel"/>
    <w:tmpl w:val="357C3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DC"/>
    <w:rsid w:val="001B25E3"/>
    <w:rsid w:val="001F69C0"/>
    <w:rsid w:val="00293DBA"/>
    <w:rsid w:val="003A0F7F"/>
    <w:rsid w:val="0040346C"/>
    <w:rsid w:val="00474D97"/>
    <w:rsid w:val="00482BB1"/>
    <w:rsid w:val="005D0BD8"/>
    <w:rsid w:val="005F260F"/>
    <w:rsid w:val="00720155"/>
    <w:rsid w:val="00781682"/>
    <w:rsid w:val="007E4735"/>
    <w:rsid w:val="0081128D"/>
    <w:rsid w:val="008D29F2"/>
    <w:rsid w:val="00905F41"/>
    <w:rsid w:val="009061E4"/>
    <w:rsid w:val="0096479B"/>
    <w:rsid w:val="009F5DDD"/>
    <w:rsid w:val="00A65173"/>
    <w:rsid w:val="00A828FC"/>
    <w:rsid w:val="00B215DC"/>
    <w:rsid w:val="00BC309E"/>
    <w:rsid w:val="00DF1DB5"/>
    <w:rsid w:val="00E323E7"/>
    <w:rsid w:val="00E868A4"/>
    <w:rsid w:val="00F22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34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Hofland</dc:creator>
  <cp:keywords/>
  <dc:description/>
  <cp:lastModifiedBy>Lukas Heijs</cp:lastModifiedBy>
  <cp:revision>4</cp:revision>
  <cp:lastPrinted>2018-06-02T18:08:00Z</cp:lastPrinted>
  <dcterms:created xsi:type="dcterms:W3CDTF">2018-06-02T18:06:00Z</dcterms:created>
  <dcterms:modified xsi:type="dcterms:W3CDTF">2018-06-07T19:15:00Z</dcterms:modified>
</cp:coreProperties>
</file>